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6A64" w14:textId="51018D6C" w:rsidR="00134A37" w:rsidRPr="00645AF9" w:rsidRDefault="00D80D4F" w:rsidP="00645AF9">
      <w:pPr>
        <w:spacing w:before="240" w:line="240" w:lineRule="auto"/>
        <w:jc w:val="center"/>
        <w:rPr>
          <w:rFonts w:ascii="Arial" w:hAnsi="Arial" w:cs="Arial"/>
          <w:sz w:val="18"/>
          <w:szCs w:val="18"/>
        </w:rPr>
      </w:pPr>
      <w:r w:rsidRPr="00645AF9">
        <w:rPr>
          <w:rFonts w:ascii="Arial" w:hAnsi="Arial" w:cs="Arial"/>
          <w:sz w:val="18"/>
          <w:szCs w:val="18"/>
        </w:rPr>
        <w:t>Tisková zpráva</w:t>
      </w:r>
    </w:p>
    <w:p w14:paraId="00CB7008" w14:textId="17959CAE" w:rsidR="00645AF9" w:rsidRDefault="00850C1E" w:rsidP="00645AF9">
      <w:pPr>
        <w:spacing w:before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3A5">
        <w:rPr>
          <w:rFonts w:ascii="Arial" w:hAnsi="Arial" w:cs="Arial"/>
          <w:b/>
          <w:bCs/>
          <w:sz w:val="20"/>
          <w:szCs w:val="20"/>
        </w:rPr>
        <w:t xml:space="preserve">Konec neférového tendrování </w:t>
      </w:r>
      <w:r w:rsidR="00713477" w:rsidRPr="005323A5">
        <w:rPr>
          <w:rFonts w:ascii="Arial" w:hAnsi="Arial" w:cs="Arial"/>
          <w:b/>
          <w:bCs/>
          <w:sz w:val="20"/>
          <w:szCs w:val="20"/>
        </w:rPr>
        <w:t>v</w:t>
      </w:r>
      <w:r w:rsidR="003D68CC" w:rsidRPr="005323A5">
        <w:rPr>
          <w:rFonts w:ascii="Arial" w:hAnsi="Arial" w:cs="Arial"/>
          <w:b/>
          <w:bCs/>
          <w:sz w:val="20"/>
          <w:szCs w:val="20"/>
        </w:rPr>
        <w:t> </w:t>
      </w:r>
      <w:r w:rsidR="00713477" w:rsidRPr="005323A5">
        <w:rPr>
          <w:rFonts w:ascii="Arial" w:hAnsi="Arial" w:cs="Arial"/>
          <w:b/>
          <w:bCs/>
          <w:sz w:val="20"/>
          <w:szCs w:val="20"/>
        </w:rPr>
        <w:t xml:space="preserve">ČR, </w:t>
      </w:r>
      <w:r w:rsidR="0019589D" w:rsidRPr="005323A5">
        <w:rPr>
          <w:rFonts w:ascii="Arial" w:hAnsi="Arial" w:cs="Arial"/>
          <w:b/>
          <w:bCs/>
          <w:sz w:val="20"/>
          <w:szCs w:val="20"/>
        </w:rPr>
        <w:t>m</w:t>
      </w:r>
      <w:r w:rsidR="00713477" w:rsidRPr="005323A5">
        <w:rPr>
          <w:rFonts w:ascii="Arial" w:hAnsi="Arial" w:cs="Arial"/>
          <w:b/>
          <w:bCs/>
          <w:sz w:val="20"/>
          <w:szCs w:val="20"/>
        </w:rPr>
        <w:t xml:space="preserve">emorandum </w:t>
      </w:r>
      <w:r w:rsidR="0019589D" w:rsidRPr="005323A5">
        <w:rPr>
          <w:rFonts w:ascii="Arial" w:hAnsi="Arial" w:cs="Arial"/>
          <w:b/>
          <w:bCs/>
          <w:sz w:val="20"/>
          <w:szCs w:val="20"/>
        </w:rPr>
        <w:t xml:space="preserve">o férových podmínkách </w:t>
      </w:r>
      <w:r w:rsidR="00713477" w:rsidRPr="005323A5">
        <w:rPr>
          <w:rFonts w:ascii="Arial" w:hAnsi="Arial" w:cs="Arial"/>
          <w:b/>
          <w:bCs/>
          <w:sz w:val="20"/>
          <w:szCs w:val="20"/>
        </w:rPr>
        <w:t>podepsaly desítky režisérů</w:t>
      </w:r>
      <w:r w:rsidR="00A123F9" w:rsidRPr="005323A5">
        <w:rPr>
          <w:rFonts w:ascii="Arial" w:hAnsi="Arial" w:cs="Arial"/>
          <w:b/>
          <w:bCs/>
          <w:sz w:val="20"/>
          <w:szCs w:val="20"/>
        </w:rPr>
        <w:t xml:space="preserve"> a všechny velké reklamní produkce</w:t>
      </w:r>
    </w:p>
    <w:p w14:paraId="636408CF" w14:textId="6E8FFF20" w:rsidR="00645AF9" w:rsidRDefault="00FA2F62" w:rsidP="00645AF9">
      <w:pPr>
        <w:spacing w:before="240" w:line="240" w:lineRule="auto"/>
        <w:rPr>
          <w:rFonts w:ascii="Arial" w:hAnsi="Arial" w:cs="Arial"/>
          <w:b/>
          <w:bCs/>
          <w:sz w:val="20"/>
          <w:szCs w:val="20"/>
        </w:rPr>
      </w:pPr>
      <w:r w:rsidRPr="005323A5">
        <w:rPr>
          <w:rFonts w:ascii="Arial" w:hAnsi="Arial" w:cs="Arial"/>
          <w:sz w:val="20"/>
          <w:szCs w:val="20"/>
        </w:rPr>
        <w:t>Dlouhá diskuse na</w:t>
      </w:r>
      <w:r w:rsidR="00713477" w:rsidRPr="005323A5">
        <w:rPr>
          <w:rFonts w:ascii="Arial" w:hAnsi="Arial" w:cs="Arial"/>
          <w:sz w:val="20"/>
          <w:szCs w:val="20"/>
        </w:rPr>
        <w:t xml:space="preserve"> téma neúnosných podmínek reklamních tendrů, které kladou vysoké časové a finanční nároky na </w:t>
      </w:r>
      <w:r w:rsidR="0019589D" w:rsidRPr="005323A5">
        <w:rPr>
          <w:rFonts w:ascii="Arial" w:hAnsi="Arial" w:cs="Arial"/>
          <w:sz w:val="20"/>
          <w:szCs w:val="20"/>
        </w:rPr>
        <w:t>agentury, produkce a samotné režiséry, dospěl</w:t>
      </w:r>
      <w:r w:rsidRPr="005323A5">
        <w:rPr>
          <w:rFonts w:ascii="Arial" w:hAnsi="Arial" w:cs="Arial"/>
          <w:sz w:val="20"/>
          <w:szCs w:val="20"/>
        </w:rPr>
        <w:t>a</w:t>
      </w:r>
      <w:r w:rsidR="0019589D" w:rsidRPr="005323A5">
        <w:rPr>
          <w:rFonts w:ascii="Arial" w:hAnsi="Arial" w:cs="Arial"/>
          <w:sz w:val="20"/>
          <w:szCs w:val="20"/>
        </w:rPr>
        <w:t xml:space="preserve"> k závěru.</w:t>
      </w:r>
      <w:r w:rsidR="00BA099A" w:rsidRPr="005323A5">
        <w:rPr>
          <w:rFonts w:ascii="Arial" w:hAnsi="Arial" w:cs="Arial"/>
          <w:sz w:val="20"/>
          <w:szCs w:val="20"/>
        </w:rPr>
        <w:t xml:space="preserve"> </w:t>
      </w:r>
      <w:r w:rsidR="00256604" w:rsidRPr="007C7D44">
        <w:rPr>
          <w:rFonts w:ascii="Arial" w:hAnsi="Arial" w:cs="Arial"/>
          <w:b/>
          <w:bCs/>
          <w:sz w:val="20"/>
          <w:szCs w:val="20"/>
        </w:rPr>
        <w:t>Memorandum o férových podmínkách při zadávání tendru na výběr režiséra a produkce pro výrobu reklamního spotu</w:t>
      </w:r>
      <w:r w:rsidR="00427C69" w:rsidRPr="005323A5">
        <w:rPr>
          <w:rFonts w:ascii="Arial" w:hAnsi="Arial" w:cs="Arial"/>
          <w:sz w:val="20"/>
          <w:szCs w:val="20"/>
        </w:rPr>
        <w:t xml:space="preserve">, </w:t>
      </w:r>
      <w:r w:rsidRPr="005323A5">
        <w:rPr>
          <w:rFonts w:ascii="Arial" w:hAnsi="Arial" w:cs="Arial"/>
          <w:sz w:val="20"/>
          <w:szCs w:val="20"/>
        </w:rPr>
        <w:t>jehož vznik iniciovala</w:t>
      </w:r>
      <w:r w:rsidR="00256604" w:rsidRPr="005323A5">
        <w:rPr>
          <w:rFonts w:ascii="Arial" w:hAnsi="Arial" w:cs="Arial"/>
          <w:sz w:val="20"/>
          <w:szCs w:val="20"/>
        </w:rPr>
        <w:t xml:space="preserve"> </w:t>
      </w:r>
      <w:r w:rsidR="00256604" w:rsidRPr="007C7D44">
        <w:rPr>
          <w:rFonts w:ascii="Arial" w:hAnsi="Arial" w:cs="Arial"/>
          <w:b/>
          <w:bCs/>
          <w:sz w:val="20"/>
          <w:szCs w:val="20"/>
        </w:rPr>
        <w:t>Asociace producentů v</w:t>
      </w:r>
      <w:r w:rsidR="0057373E" w:rsidRPr="007C7D44">
        <w:rPr>
          <w:rFonts w:ascii="Arial" w:hAnsi="Arial" w:cs="Arial"/>
          <w:b/>
          <w:bCs/>
          <w:sz w:val="20"/>
          <w:szCs w:val="20"/>
        </w:rPr>
        <w:t> </w:t>
      </w:r>
      <w:r w:rsidR="00256604" w:rsidRPr="007C7D44">
        <w:rPr>
          <w:rFonts w:ascii="Arial" w:hAnsi="Arial" w:cs="Arial"/>
          <w:b/>
          <w:bCs/>
          <w:sz w:val="20"/>
          <w:szCs w:val="20"/>
        </w:rPr>
        <w:t>audiovizi</w:t>
      </w:r>
      <w:r w:rsidR="0057373E" w:rsidRPr="007C7D44">
        <w:rPr>
          <w:rFonts w:ascii="Arial" w:hAnsi="Arial" w:cs="Arial"/>
          <w:b/>
          <w:bCs/>
          <w:sz w:val="20"/>
          <w:szCs w:val="20"/>
        </w:rPr>
        <w:t xml:space="preserve"> (APA)</w:t>
      </w:r>
      <w:r w:rsidR="00427C69" w:rsidRPr="005323A5">
        <w:rPr>
          <w:rFonts w:ascii="Arial" w:hAnsi="Arial" w:cs="Arial"/>
          <w:sz w:val="20"/>
          <w:szCs w:val="20"/>
        </w:rPr>
        <w:t xml:space="preserve">, </w:t>
      </w:r>
      <w:r w:rsidR="00D918ED">
        <w:rPr>
          <w:rFonts w:ascii="Arial" w:hAnsi="Arial" w:cs="Arial"/>
          <w:sz w:val="20"/>
          <w:szCs w:val="20"/>
        </w:rPr>
        <w:t>právě podepsalo</w:t>
      </w:r>
      <w:r w:rsidR="00256604" w:rsidRPr="005323A5">
        <w:rPr>
          <w:rFonts w:ascii="Arial" w:hAnsi="Arial" w:cs="Arial"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>šedesát</w:t>
      </w:r>
      <w:r w:rsidR="00256604" w:rsidRPr="005323A5">
        <w:rPr>
          <w:rFonts w:ascii="Arial" w:hAnsi="Arial" w:cs="Arial"/>
          <w:color w:val="FF0000"/>
          <w:sz w:val="20"/>
          <w:szCs w:val="20"/>
        </w:rPr>
        <w:t xml:space="preserve"> </w:t>
      </w:r>
      <w:r w:rsidR="00256604" w:rsidRPr="005323A5">
        <w:rPr>
          <w:rFonts w:ascii="Arial" w:hAnsi="Arial" w:cs="Arial"/>
          <w:sz w:val="20"/>
          <w:szCs w:val="20"/>
        </w:rPr>
        <w:t xml:space="preserve">předních českých režisérů </w:t>
      </w:r>
      <w:r w:rsidRPr="005323A5">
        <w:rPr>
          <w:rFonts w:ascii="Arial" w:hAnsi="Arial" w:cs="Arial"/>
          <w:sz w:val="20"/>
          <w:szCs w:val="20"/>
        </w:rPr>
        <w:t>a všechny</w:t>
      </w:r>
      <w:r w:rsidR="000740B3" w:rsidRPr="005323A5">
        <w:rPr>
          <w:rFonts w:ascii="Arial" w:hAnsi="Arial" w:cs="Arial"/>
          <w:sz w:val="20"/>
          <w:szCs w:val="20"/>
        </w:rPr>
        <w:t xml:space="preserve"> velk</w:t>
      </w:r>
      <w:r w:rsidRPr="005323A5">
        <w:rPr>
          <w:rFonts w:ascii="Arial" w:hAnsi="Arial" w:cs="Arial"/>
          <w:sz w:val="20"/>
          <w:szCs w:val="20"/>
        </w:rPr>
        <w:t>é</w:t>
      </w:r>
      <w:r w:rsidR="000740B3" w:rsidRPr="005323A5">
        <w:rPr>
          <w:rFonts w:ascii="Arial" w:hAnsi="Arial" w:cs="Arial"/>
          <w:sz w:val="20"/>
          <w:szCs w:val="20"/>
        </w:rPr>
        <w:t xml:space="preserve"> reklamní produkc</w:t>
      </w:r>
      <w:r w:rsidRPr="005323A5">
        <w:rPr>
          <w:rFonts w:ascii="Arial" w:hAnsi="Arial" w:cs="Arial"/>
          <w:sz w:val="20"/>
          <w:szCs w:val="20"/>
        </w:rPr>
        <w:t>e</w:t>
      </w:r>
      <w:r w:rsidR="000740B3" w:rsidRPr="005323A5">
        <w:rPr>
          <w:rFonts w:ascii="Arial" w:hAnsi="Arial" w:cs="Arial"/>
          <w:sz w:val="20"/>
          <w:szCs w:val="20"/>
        </w:rPr>
        <w:t>.</w:t>
      </w:r>
      <w:r w:rsidR="00786C70" w:rsidRPr="005323A5">
        <w:rPr>
          <w:rFonts w:ascii="Arial" w:hAnsi="Arial" w:cs="Arial"/>
          <w:sz w:val="20"/>
          <w:szCs w:val="20"/>
        </w:rPr>
        <w:t xml:space="preserve"> </w:t>
      </w:r>
      <w:r w:rsidR="00786C70" w:rsidRPr="007C7D44">
        <w:rPr>
          <w:rFonts w:ascii="Arial" w:hAnsi="Arial" w:cs="Arial"/>
          <w:b/>
          <w:bCs/>
          <w:sz w:val="20"/>
          <w:szCs w:val="20"/>
        </w:rPr>
        <w:t>Jedná se tak o zásadní průlom na poli reklamního a audiovizuálního průmyslu.</w:t>
      </w:r>
    </w:p>
    <w:p w14:paraId="3D01D3FA" w14:textId="26BF64C4" w:rsidR="00645AF9" w:rsidRDefault="000740B3" w:rsidP="00645AF9">
      <w:pPr>
        <w:spacing w:before="240" w:line="240" w:lineRule="auto"/>
        <w:rPr>
          <w:rFonts w:ascii="Arial" w:hAnsi="Arial" w:cs="Arial"/>
          <w:b/>
          <w:bCs/>
          <w:sz w:val="20"/>
          <w:szCs w:val="20"/>
        </w:rPr>
      </w:pPr>
      <w:r w:rsidRPr="005323A5">
        <w:rPr>
          <w:rFonts w:ascii="Arial" w:hAnsi="Arial" w:cs="Arial"/>
          <w:sz w:val="20"/>
          <w:szCs w:val="20"/>
        </w:rPr>
        <w:t xml:space="preserve">Mezi režiséry, kteří se zasazují o dodržování pravidel férových tendrů jsou </w:t>
      </w:r>
      <w:r w:rsidRPr="007C7D44">
        <w:rPr>
          <w:rFonts w:ascii="Arial" w:hAnsi="Arial" w:cs="Arial"/>
          <w:b/>
          <w:bCs/>
          <w:sz w:val="20"/>
          <w:szCs w:val="20"/>
        </w:rPr>
        <w:t>Jasmina Blaževič</w:t>
      </w:r>
      <w:r w:rsidRPr="007C7D44">
        <w:rPr>
          <w:rFonts w:ascii="Arial" w:hAnsi="Arial" w:cs="Arial"/>
          <w:sz w:val="20"/>
          <w:szCs w:val="20"/>
        </w:rPr>
        <w:t>,</w:t>
      </w:r>
      <w:r w:rsidRPr="007C7D44">
        <w:rPr>
          <w:rFonts w:ascii="Arial" w:hAnsi="Arial" w:cs="Arial"/>
          <w:b/>
          <w:bCs/>
          <w:sz w:val="20"/>
          <w:szCs w:val="20"/>
        </w:rPr>
        <w:t xml:space="preserve">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Wolfberg</w:t>
      </w:r>
      <w:r w:rsidR="00427C69" w:rsidRPr="007C7D44">
        <w:rPr>
          <w:rFonts w:ascii="Arial" w:hAnsi="Arial" w:cs="Arial"/>
          <w:sz w:val="20"/>
          <w:szCs w:val="20"/>
        </w:rPr>
        <w:t>,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 xml:space="preserve"> </w:t>
      </w:r>
      <w:r w:rsidR="00AA1A20" w:rsidRPr="007C7D44">
        <w:rPr>
          <w:rFonts w:ascii="Arial" w:hAnsi="Arial" w:cs="Arial"/>
          <w:b/>
          <w:bCs/>
          <w:sz w:val="20"/>
          <w:szCs w:val="20"/>
        </w:rPr>
        <w:t>Tomáš Mašín</w:t>
      </w:r>
      <w:r w:rsidR="00AA1A20" w:rsidRPr="007C7D44">
        <w:rPr>
          <w:rFonts w:ascii="Arial" w:hAnsi="Arial" w:cs="Arial"/>
          <w:sz w:val="20"/>
          <w:szCs w:val="20"/>
        </w:rPr>
        <w:t>,</w:t>
      </w:r>
      <w:r w:rsidR="00AA1A20" w:rsidRPr="007C7D44">
        <w:rPr>
          <w:rFonts w:ascii="Arial" w:hAnsi="Arial" w:cs="Arial"/>
          <w:b/>
          <w:bCs/>
          <w:sz w:val="20"/>
          <w:szCs w:val="20"/>
        </w:rPr>
        <w:t xml:space="preserve"> </w:t>
      </w:r>
      <w:r w:rsidR="00786C70" w:rsidRPr="007C7D44">
        <w:rPr>
          <w:rFonts w:ascii="Arial" w:hAnsi="Arial" w:cs="Arial"/>
          <w:b/>
          <w:bCs/>
          <w:sz w:val="20"/>
          <w:szCs w:val="20"/>
        </w:rPr>
        <w:t>Mugshots</w:t>
      </w:r>
      <w:r w:rsidR="00786C70" w:rsidRPr="007C7D44">
        <w:rPr>
          <w:rFonts w:ascii="Arial" w:hAnsi="Arial" w:cs="Arial"/>
          <w:sz w:val="20"/>
          <w:szCs w:val="20"/>
        </w:rPr>
        <w:t>,</w:t>
      </w:r>
      <w:r w:rsidR="00786C70" w:rsidRPr="007C7D44">
        <w:rPr>
          <w:rFonts w:ascii="Arial" w:hAnsi="Arial" w:cs="Arial"/>
          <w:b/>
          <w:bCs/>
          <w:sz w:val="20"/>
          <w:szCs w:val="20"/>
        </w:rPr>
        <w:t xml:space="preserve"> Marek Partyš</w:t>
      </w:r>
      <w:r w:rsidR="00786C70" w:rsidRPr="007C7D44">
        <w:rPr>
          <w:rFonts w:ascii="Arial" w:hAnsi="Arial" w:cs="Arial"/>
          <w:sz w:val="20"/>
          <w:szCs w:val="20"/>
        </w:rPr>
        <w:t>,</w:t>
      </w:r>
      <w:r w:rsidR="00786C70" w:rsidRPr="007C7D44">
        <w:rPr>
          <w:rFonts w:ascii="Arial" w:hAnsi="Arial" w:cs="Arial"/>
          <w:b/>
          <w:bCs/>
          <w:sz w:val="20"/>
          <w:szCs w:val="20"/>
        </w:rPr>
        <w:t xml:space="preserve"> Tomáš Bařina</w:t>
      </w:r>
      <w:r w:rsidR="00786C70" w:rsidRPr="007C7D44">
        <w:rPr>
          <w:rFonts w:ascii="Arial" w:hAnsi="Arial" w:cs="Arial"/>
          <w:sz w:val="20"/>
          <w:szCs w:val="20"/>
        </w:rPr>
        <w:t>,</w:t>
      </w:r>
      <w:r w:rsidR="00BA099A" w:rsidRPr="007C7D44">
        <w:rPr>
          <w:rFonts w:ascii="Arial" w:hAnsi="Arial" w:cs="Arial"/>
          <w:sz w:val="20"/>
          <w:szCs w:val="20"/>
        </w:rPr>
        <w:t xml:space="preserve">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Roman Valent</w:t>
      </w:r>
      <w:r w:rsidR="00BA099A" w:rsidRPr="005323A5">
        <w:rPr>
          <w:rFonts w:ascii="Arial" w:hAnsi="Arial" w:cs="Arial"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>nebo</w:t>
      </w:r>
      <w:r w:rsidR="00BA099A" w:rsidRPr="005323A5">
        <w:rPr>
          <w:rFonts w:ascii="Arial" w:hAnsi="Arial" w:cs="Arial"/>
          <w:sz w:val="20"/>
          <w:szCs w:val="20"/>
        </w:rPr>
        <w:t xml:space="preserve"> </w:t>
      </w:r>
      <w:r w:rsidR="00BA099A" w:rsidRPr="007C7D44">
        <w:rPr>
          <w:rFonts w:ascii="Arial" w:hAnsi="Arial" w:cs="Arial"/>
          <w:b/>
          <w:bCs/>
          <w:sz w:val="20"/>
          <w:szCs w:val="20"/>
        </w:rPr>
        <w:t>Alice Nell</w:t>
      </w:r>
      <w:r w:rsidRPr="007C7D44">
        <w:rPr>
          <w:rFonts w:ascii="Arial" w:hAnsi="Arial" w:cs="Arial"/>
          <w:b/>
          <w:bCs/>
          <w:sz w:val="20"/>
          <w:szCs w:val="20"/>
        </w:rPr>
        <w:t>i</w:t>
      </w:r>
      <w:r w:rsidR="00BA099A" w:rsidRPr="007C7D44">
        <w:rPr>
          <w:rFonts w:ascii="Arial" w:hAnsi="Arial" w:cs="Arial"/>
          <w:b/>
          <w:bCs/>
          <w:sz w:val="20"/>
          <w:szCs w:val="20"/>
        </w:rPr>
        <w:t>s</w:t>
      </w:r>
      <w:r w:rsidRPr="005323A5">
        <w:rPr>
          <w:rFonts w:ascii="Arial" w:hAnsi="Arial" w:cs="Arial"/>
          <w:sz w:val="20"/>
          <w:szCs w:val="20"/>
        </w:rPr>
        <w:t xml:space="preserve">, mezi reklamními produkcemi </w:t>
      </w:r>
      <w:r w:rsidR="00FA2F62" w:rsidRPr="005323A5">
        <w:rPr>
          <w:rFonts w:ascii="Arial" w:hAnsi="Arial" w:cs="Arial"/>
          <w:sz w:val="20"/>
          <w:szCs w:val="20"/>
        </w:rPr>
        <w:t>například</w:t>
      </w:r>
      <w:r w:rsidRPr="005323A5">
        <w:rPr>
          <w:rFonts w:ascii="Arial" w:hAnsi="Arial" w:cs="Arial"/>
          <w:sz w:val="20"/>
          <w:szCs w:val="20"/>
        </w:rPr>
        <w:t xml:space="preserve">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Armada Films</w:t>
      </w:r>
      <w:r w:rsidR="00427C69" w:rsidRPr="005323A5">
        <w:rPr>
          <w:rFonts w:ascii="Arial" w:hAnsi="Arial" w:cs="Arial"/>
          <w:sz w:val="20"/>
          <w:szCs w:val="20"/>
        </w:rPr>
        <w:t xml:space="preserve">,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Ad Kolektiv</w:t>
      </w:r>
      <w:r w:rsidR="00427C69" w:rsidRPr="005323A5">
        <w:rPr>
          <w:rFonts w:ascii="Arial" w:hAnsi="Arial" w:cs="Arial"/>
          <w:sz w:val="20"/>
          <w:szCs w:val="20"/>
        </w:rPr>
        <w:t xml:space="preserve">,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Bistro Films</w:t>
      </w:r>
      <w:r w:rsidR="00427C69" w:rsidRPr="005323A5">
        <w:rPr>
          <w:rFonts w:ascii="Arial" w:hAnsi="Arial" w:cs="Arial"/>
          <w:sz w:val="20"/>
          <w:szCs w:val="20"/>
        </w:rPr>
        <w:t xml:space="preserve">,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Boogie Films</w:t>
      </w:r>
      <w:r w:rsidR="00AA1A20">
        <w:rPr>
          <w:rFonts w:ascii="Arial" w:hAnsi="Arial" w:cs="Arial"/>
          <w:sz w:val="20"/>
          <w:szCs w:val="20"/>
        </w:rPr>
        <w:t xml:space="preserve">, </w:t>
      </w:r>
      <w:r w:rsidR="00427C69" w:rsidRPr="007C7D44">
        <w:rPr>
          <w:rFonts w:ascii="Arial" w:hAnsi="Arial" w:cs="Arial"/>
          <w:b/>
          <w:bCs/>
          <w:sz w:val="20"/>
          <w:szCs w:val="20"/>
        </w:rPr>
        <w:t>Creative Embassy</w:t>
      </w:r>
      <w:r w:rsidR="00AA1A20">
        <w:rPr>
          <w:rFonts w:ascii="Arial" w:hAnsi="Arial" w:cs="Arial"/>
          <w:b/>
          <w:bCs/>
          <w:sz w:val="20"/>
          <w:szCs w:val="20"/>
        </w:rPr>
        <w:t xml:space="preserve"> </w:t>
      </w:r>
      <w:r w:rsidR="00AA1A20" w:rsidRPr="00AA1A20">
        <w:rPr>
          <w:rFonts w:ascii="Arial" w:hAnsi="Arial" w:cs="Arial"/>
          <w:sz w:val="20"/>
          <w:szCs w:val="20"/>
        </w:rPr>
        <w:t>nebo</w:t>
      </w:r>
      <w:r w:rsidR="00AA1A20">
        <w:rPr>
          <w:rFonts w:ascii="Arial" w:hAnsi="Arial" w:cs="Arial"/>
          <w:b/>
          <w:bCs/>
          <w:sz w:val="20"/>
          <w:szCs w:val="20"/>
        </w:rPr>
        <w:t xml:space="preserve"> Stink</w:t>
      </w:r>
      <w:r w:rsidR="00256604" w:rsidRPr="005323A5">
        <w:rPr>
          <w:rFonts w:ascii="Arial" w:hAnsi="Arial" w:cs="Arial"/>
          <w:sz w:val="20"/>
          <w:szCs w:val="20"/>
        </w:rPr>
        <w:t xml:space="preserve">. </w:t>
      </w:r>
      <w:r w:rsidR="00786C70" w:rsidRPr="005323A5">
        <w:rPr>
          <w:rFonts w:ascii="Arial" w:hAnsi="Arial" w:cs="Arial"/>
          <w:sz w:val="20"/>
          <w:szCs w:val="20"/>
        </w:rPr>
        <w:t xml:space="preserve">Principy memoranda </w:t>
      </w:r>
      <w:r w:rsidR="00FA2F62" w:rsidRPr="005323A5">
        <w:rPr>
          <w:rFonts w:ascii="Arial" w:hAnsi="Arial" w:cs="Arial"/>
          <w:sz w:val="20"/>
          <w:szCs w:val="20"/>
        </w:rPr>
        <w:t xml:space="preserve">byly diskutovány se zástupci reklamní sekce APA </w:t>
      </w:r>
      <w:r w:rsidR="00FA2F62" w:rsidRPr="007C7D44">
        <w:rPr>
          <w:rFonts w:ascii="Arial" w:hAnsi="Arial" w:cs="Arial"/>
          <w:b/>
          <w:bCs/>
          <w:sz w:val="20"/>
          <w:szCs w:val="20"/>
        </w:rPr>
        <w:t>Petrou Ondřejkovou</w:t>
      </w:r>
      <w:r w:rsidR="00FA2F62" w:rsidRPr="005323A5">
        <w:rPr>
          <w:rFonts w:ascii="Arial" w:hAnsi="Arial" w:cs="Arial"/>
          <w:sz w:val="20"/>
          <w:szCs w:val="20"/>
        </w:rPr>
        <w:t xml:space="preserve"> a </w:t>
      </w:r>
      <w:r w:rsidR="00FA2F62" w:rsidRPr="007C7D44">
        <w:rPr>
          <w:rFonts w:ascii="Arial" w:hAnsi="Arial" w:cs="Arial"/>
          <w:b/>
          <w:bCs/>
          <w:sz w:val="20"/>
          <w:szCs w:val="20"/>
        </w:rPr>
        <w:t>Pavlem Pickem</w:t>
      </w:r>
      <w:r w:rsidR="005323A5" w:rsidRPr="005323A5">
        <w:rPr>
          <w:rFonts w:ascii="Arial" w:hAnsi="Arial" w:cs="Arial"/>
          <w:sz w:val="20"/>
          <w:szCs w:val="20"/>
        </w:rPr>
        <w:t xml:space="preserve"> a </w:t>
      </w:r>
      <w:r w:rsidR="005323A5">
        <w:rPr>
          <w:rFonts w:ascii="Arial" w:hAnsi="Arial" w:cs="Arial"/>
          <w:sz w:val="20"/>
          <w:szCs w:val="20"/>
        </w:rPr>
        <w:t xml:space="preserve">manažerkou sekce </w:t>
      </w:r>
      <w:r w:rsidR="005323A5" w:rsidRPr="007C7D44">
        <w:rPr>
          <w:rFonts w:ascii="Arial" w:hAnsi="Arial" w:cs="Arial"/>
          <w:b/>
          <w:bCs/>
          <w:sz w:val="20"/>
          <w:szCs w:val="20"/>
        </w:rPr>
        <w:t>Evou Dvořákovou P</w:t>
      </w:r>
      <w:r w:rsidR="002D23B8">
        <w:rPr>
          <w:rFonts w:ascii="Arial" w:hAnsi="Arial" w:cs="Arial"/>
          <w:b/>
          <w:bCs/>
          <w:sz w:val="20"/>
          <w:szCs w:val="20"/>
        </w:rPr>
        <w:t>é</w:t>
      </w:r>
      <w:r w:rsidR="005323A5" w:rsidRPr="007C7D44">
        <w:rPr>
          <w:rFonts w:ascii="Arial" w:hAnsi="Arial" w:cs="Arial"/>
          <w:b/>
          <w:bCs/>
          <w:sz w:val="20"/>
          <w:szCs w:val="20"/>
        </w:rPr>
        <w:t>r</w:t>
      </w:r>
      <w:r w:rsidR="002D23B8">
        <w:rPr>
          <w:rFonts w:ascii="Arial" w:hAnsi="Arial" w:cs="Arial"/>
          <w:b/>
          <w:bCs/>
          <w:sz w:val="20"/>
          <w:szCs w:val="20"/>
        </w:rPr>
        <w:t>e</w:t>
      </w:r>
      <w:r w:rsidR="005323A5" w:rsidRPr="007C7D44">
        <w:rPr>
          <w:rFonts w:ascii="Arial" w:hAnsi="Arial" w:cs="Arial"/>
          <w:b/>
          <w:bCs/>
          <w:sz w:val="20"/>
          <w:szCs w:val="20"/>
        </w:rPr>
        <w:t>z</w:t>
      </w:r>
      <w:r w:rsidR="005323A5">
        <w:rPr>
          <w:rFonts w:ascii="Arial" w:hAnsi="Arial" w:cs="Arial"/>
          <w:sz w:val="20"/>
          <w:szCs w:val="20"/>
        </w:rPr>
        <w:t>.</w:t>
      </w:r>
    </w:p>
    <w:p w14:paraId="0A361BDB" w14:textId="58B89A3C" w:rsidR="00645AF9" w:rsidRPr="00645AF9" w:rsidRDefault="0057373E" w:rsidP="00645AF9">
      <w:pPr>
        <w:spacing w:before="240" w:line="240" w:lineRule="auto"/>
        <w:rPr>
          <w:rFonts w:ascii="Arial" w:hAnsi="Arial" w:cs="Arial"/>
          <w:b/>
          <w:bCs/>
          <w:sz w:val="20"/>
          <w:szCs w:val="20"/>
        </w:rPr>
      </w:pPr>
      <w:r w:rsidRPr="005323A5">
        <w:rPr>
          <w:rFonts w:ascii="Arial" w:hAnsi="Arial" w:cs="Arial"/>
          <w:sz w:val="20"/>
          <w:szCs w:val="20"/>
        </w:rPr>
        <w:t>Obsah memoranda vyj</w:t>
      </w:r>
      <w:r w:rsidRPr="007C7D44">
        <w:rPr>
          <w:rFonts w:ascii="Arial" w:hAnsi="Arial" w:cs="Arial"/>
          <w:sz w:val="20"/>
          <w:szCs w:val="20"/>
        </w:rPr>
        <w:t xml:space="preserve">adřuje názorovou shodu režisérů sdružených v nové vzniklé iniciativě </w:t>
      </w:r>
      <w:r w:rsidRPr="007C7D44">
        <w:rPr>
          <w:rFonts w:ascii="Arial" w:hAnsi="Arial" w:cs="Arial"/>
          <w:b/>
          <w:bCs/>
          <w:sz w:val="20"/>
          <w:szCs w:val="20"/>
        </w:rPr>
        <w:t>Sdružení reklamních režisérů (</w:t>
      </w:r>
      <w:r w:rsidR="007C7D44" w:rsidRPr="007C7D44">
        <w:rPr>
          <w:rFonts w:ascii="Arial" w:hAnsi="Arial" w:cs="Arial"/>
          <w:b/>
          <w:bCs/>
          <w:sz w:val="20"/>
          <w:szCs w:val="20"/>
        </w:rPr>
        <w:t>SRR</w:t>
      </w:r>
      <w:r w:rsidR="007C7D44">
        <w:rPr>
          <w:rFonts w:ascii="Arial" w:hAnsi="Arial" w:cs="Arial"/>
          <w:sz w:val="20"/>
          <w:szCs w:val="20"/>
        </w:rPr>
        <w:t xml:space="preserve"> - </w:t>
      </w:r>
      <w:hyperlink r:id="rId5" w:history="1">
        <w:r w:rsidR="007C7D44" w:rsidRPr="00FE7EEC">
          <w:rPr>
            <w:rStyle w:val="Hypertextovodkaz"/>
            <w:rFonts w:ascii="Arial" w:hAnsi="Arial" w:cs="Arial"/>
            <w:sz w:val="20"/>
            <w:szCs w:val="20"/>
          </w:rPr>
          <w:t>www.sdruzenireziseru.cz</w:t>
        </w:r>
      </w:hyperlink>
      <w:r w:rsidR="007C7D44">
        <w:rPr>
          <w:rFonts w:ascii="Arial" w:hAnsi="Arial" w:cs="Arial"/>
          <w:sz w:val="20"/>
          <w:szCs w:val="20"/>
        </w:rPr>
        <w:t xml:space="preserve">), </w:t>
      </w:r>
      <w:r w:rsidRPr="005323A5">
        <w:rPr>
          <w:rFonts w:ascii="Arial" w:hAnsi="Arial" w:cs="Arial"/>
          <w:sz w:val="20"/>
          <w:szCs w:val="20"/>
        </w:rPr>
        <w:t>kteří si s podporou producentů</w:t>
      </w:r>
      <w:r w:rsidR="007C7D44">
        <w:rPr>
          <w:rFonts w:ascii="Arial" w:hAnsi="Arial" w:cs="Arial"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>kladou za cíl kultivovat reklamní prostředí, nastavit férové a transparentní principy vyjadřující respekt k</w:t>
      </w:r>
      <w:r w:rsidR="00DC6325" w:rsidRPr="005323A5">
        <w:rPr>
          <w:rFonts w:ascii="Arial" w:hAnsi="Arial" w:cs="Arial"/>
          <w:sz w:val="20"/>
          <w:szCs w:val="20"/>
        </w:rPr>
        <w:t xml:space="preserve"> odvedené </w:t>
      </w:r>
      <w:r w:rsidRPr="005323A5">
        <w:rPr>
          <w:rFonts w:ascii="Arial" w:hAnsi="Arial" w:cs="Arial"/>
          <w:sz w:val="20"/>
          <w:szCs w:val="20"/>
        </w:rPr>
        <w:t>práci</w:t>
      </w:r>
      <w:r w:rsidR="008719AF" w:rsidRPr="005323A5">
        <w:rPr>
          <w:rFonts w:ascii="Arial" w:hAnsi="Arial" w:cs="Arial"/>
          <w:sz w:val="20"/>
          <w:szCs w:val="20"/>
        </w:rPr>
        <w:t xml:space="preserve">, zkvalitnit dodané nabídky </w:t>
      </w:r>
      <w:r w:rsidR="00DC6325" w:rsidRPr="005323A5">
        <w:rPr>
          <w:rFonts w:ascii="Arial" w:hAnsi="Arial" w:cs="Arial"/>
          <w:sz w:val="20"/>
          <w:szCs w:val="20"/>
        </w:rPr>
        <w:t>a</w:t>
      </w:r>
      <w:r w:rsidRPr="005323A5">
        <w:rPr>
          <w:rFonts w:ascii="Arial" w:hAnsi="Arial" w:cs="Arial"/>
          <w:sz w:val="20"/>
          <w:szCs w:val="20"/>
        </w:rPr>
        <w:t xml:space="preserve"> </w:t>
      </w:r>
      <w:r w:rsidR="008719AF" w:rsidRPr="005323A5">
        <w:rPr>
          <w:rFonts w:ascii="Arial" w:hAnsi="Arial" w:cs="Arial"/>
          <w:sz w:val="20"/>
          <w:szCs w:val="20"/>
        </w:rPr>
        <w:t>zlepšit celý</w:t>
      </w:r>
      <w:r w:rsidR="00DC6325" w:rsidRPr="005323A5">
        <w:rPr>
          <w:rFonts w:ascii="Arial" w:hAnsi="Arial" w:cs="Arial"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>proces tendrování</w:t>
      </w:r>
      <w:r w:rsidR="00DC6325" w:rsidRPr="005323A5">
        <w:rPr>
          <w:rFonts w:ascii="Arial" w:hAnsi="Arial" w:cs="Arial"/>
          <w:sz w:val="20"/>
          <w:szCs w:val="20"/>
        </w:rPr>
        <w:t xml:space="preserve"> na obou stranách</w:t>
      </w:r>
      <w:r w:rsidRPr="005323A5">
        <w:rPr>
          <w:rFonts w:ascii="Arial" w:hAnsi="Arial" w:cs="Arial"/>
          <w:sz w:val="20"/>
          <w:szCs w:val="20"/>
        </w:rPr>
        <w:t>.</w:t>
      </w:r>
    </w:p>
    <w:p w14:paraId="6BABD2D6" w14:textId="72D61BE1" w:rsidR="00CC1AC4" w:rsidRDefault="00E34F16" w:rsidP="00645AF9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7C7D44">
        <w:rPr>
          <w:rFonts w:ascii="Arial" w:hAnsi="Arial" w:cs="Arial"/>
          <w:b/>
          <w:bCs/>
          <w:sz w:val="20"/>
          <w:szCs w:val="20"/>
        </w:rPr>
        <w:t>V jedenácti bodech</w:t>
      </w:r>
      <w:r w:rsidR="007C7D44" w:rsidRPr="007C7D44">
        <w:rPr>
          <w:rFonts w:ascii="Arial" w:hAnsi="Arial" w:cs="Arial"/>
          <w:b/>
          <w:bCs/>
          <w:sz w:val="20"/>
          <w:szCs w:val="20"/>
        </w:rPr>
        <w:t xml:space="preserve"> memorandum</w:t>
      </w:r>
      <w:r w:rsidRPr="007C7D44">
        <w:rPr>
          <w:rFonts w:ascii="Arial" w:hAnsi="Arial" w:cs="Arial"/>
          <w:b/>
          <w:bCs/>
          <w:sz w:val="20"/>
          <w:szCs w:val="20"/>
        </w:rPr>
        <w:t xml:space="preserve"> shrnuje pravidl</w:t>
      </w:r>
      <w:r w:rsidR="007C7D44">
        <w:rPr>
          <w:rFonts w:ascii="Arial" w:hAnsi="Arial" w:cs="Arial"/>
          <w:b/>
          <w:bCs/>
          <w:sz w:val="20"/>
          <w:szCs w:val="20"/>
        </w:rPr>
        <w:t>a férového tendrování</w:t>
      </w:r>
      <w:r w:rsidRPr="005323A5">
        <w:rPr>
          <w:rFonts w:ascii="Arial" w:hAnsi="Arial" w:cs="Arial"/>
          <w:sz w:val="20"/>
          <w:szCs w:val="20"/>
        </w:rPr>
        <w:t xml:space="preserve">: počet režisérů vyzvaných k vytvoření treatmentů je maximálně tři, jména </w:t>
      </w:r>
      <w:r w:rsidR="00DC6325" w:rsidRPr="005323A5">
        <w:rPr>
          <w:rFonts w:ascii="Arial" w:hAnsi="Arial" w:cs="Arial"/>
          <w:sz w:val="20"/>
          <w:szCs w:val="20"/>
        </w:rPr>
        <w:t>a rozpočet nejsou tajné</w:t>
      </w:r>
      <w:r w:rsidRPr="005323A5">
        <w:rPr>
          <w:rFonts w:ascii="Arial" w:hAnsi="Arial" w:cs="Arial"/>
          <w:sz w:val="20"/>
          <w:szCs w:val="20"/>
        </w:rPr>
        <w:t xml:space="preserve">, na vytvoření treatmentu nemá režisér a produkce méně než 5 pracovních dní, součástí tendru je tzv. pitch fee (částka, kterou klient zaplatí za zpracování treatmentu a návrhu rozpočtu), pitch fee může odpadnout u single bid projektů, pokud je zohledněno v celkové odměně, zadání tendru probíhá po zajištění financování a konkretizování práce režisérů, </w:t>
      </w:r>
      <w:r w:rsidR="007C7D44">
        <w:rPr>
          <w:rFonts w:ascii="Arial" w:hAnsi="Arial" w:cs="Arial"/>
          <w:sz w:val="20"/>
          <w:szCs w:val="20"/>
        </w:rPr>
        <w:t xml:space="preserve">platba </w:t>
      </w:r>
      <w:r w:rsidRPr="005323A5">
        <w:rPr>
          <w:rFonts w:ascii="Arial" w:hAnsi="Arial" w:cs="Arial"/>
          <w:sz w:val="20"/>
          <w:szCs w:val="20"/>
        </w:rPr>
        <w:t>cancellation fee v případě zrušení tendru po odevzdání treatmentů a rozpočtů</w:t>
      </w:r>
      <w:r w:rsidR="00DC6325" w:rsidRPr="005323A5">
        <w:rPr>
          <w:rFonts w:ascii="Arial" w:hAnsi="Arial" w:cs="Arial"/>
          <w:sz w:val="20"/>
          <w:szCs w:val="20"/>
        </w:rPr>
        <w:t>.</w:t>
      </w:r>
      <w:r w:rsidRPr="005323A5">
        <w:rPr>
          <w:rFonts w:ascii="Arial" w:hAnsi="Arial" w:cs="Arial"/>
          <w:sz w:val="20"/>
          <w:szCs w:val="20"/>
        </w:rPr>
        <w:t xml:space="preserve"> </w:t>
      </w:r>
      <w:r w:rsidR="00DC6325" w:rsidRPr="005323A5">
        <w:rPr>
          <w:rFonts w:ascii="Arial" w:hAnsi="Arial" w:cs="Arial"/>
          <w:sz w:val="20"/>
          <w:szCs w:val="20"/>
        </w:rPr>
        <w:t xml:space="preserve">Do tendru se zadávají </w:t>
      </w:r>
      <w:r w:rsidRPr="005323A5">
        <w:rPr>
          <w:rFonts w:ascii="Arial" w:hAnsi="Arial" w:cs="Arial"/>
          <w:sz w:val="20"/>
          <w:szCs w:val="20"/>
        </w:rPr>
        <w:t>pouze hoto</w:t>
      </w:r>
      <w:r w:rsidR="00DC6325" w:rsidRPr="005323A5">
        <w:rPr>
          <w:rFonts w:ascii="Arial" w:hAnsi="Arial" w:cs="Arial"/>
          <w:sz w:val="20"/>
          <w:szCs w:val="20"/>
        </w:rPr>
        <w:t>vé</w:t>
      </w:r>
      <w:r w:rsidRPr="005323A5">
        <w:rPr>
          <w:rFonts w:ascii="Arial" w:hAnsi="Arial" w:cs="Arial"/>
          <w:sz w:val="20"/>
          <w:szCs w:val="20"/>
        </w:rPr>
        <w:t xml:space="preserve"> a klientem schválen</w:t>
      </w:r>
      <w:r w:rsidR="00DC6325" w:rsidRPr="005323A5">
        <w:rPr>
          <w:rFonts w:ascii="Arial" w:hAnsi="Arial" w:cs="Arial"/>
          <w:sz w:val="20"/>
          <w:szCs w:val="20"/>
        </w:rPr>
        <w:t>é</w:t>
      </w:r>
      <w:r w:rsidRPr="005323A5">
        <w:rPr>
          <w:rFonts w:ascii="Arial" w:hAnsi="Arial" w:cs="Arial"/>
          <w:sz w:val="20"/>
          <w:szCs w:val="20"/>
        </w:rPr>
        <w:t xml:space="preserve"> skript</w:t>
      </w:r>
      <w:r w:rsidR="00DC6325" w:rsidRPr="005323A5">
        <w:rPr>
          <w:rFonts w:ascii="Arial" w:hAnsi="Arial" w:cs="Arial"/>
          <w:sz w:val="20"/>
          <w:szCs w:val="20"/>
        </w:rPr>
        <w:t>y</w:t>
      </w:r>
      <w:r w:rsidRPr="005323A5">
        <w:rPr>
          <w:rFonts w:ascii="Arial" w:hAnsi="Arial" w:cs="Arial"/>
          <w:sz w:val="20"/>
          <w:szCs w:val="20"/>
        </w:rPr>
        <w:t xml:space="preserve">, zpětná vazba v případě neúspěšnosti </w:t>
      </w:r>
      <w:r w:rsidR="00DC6325" w:rsidRPr="005323A5">
        <w:rPr>
          <w:rFonts w:ascii="Arial" w:hAnsi="Arial" w:cs="Arial"/>
          <w:sz w:val="20"/>
          <w:szCs w:val="20"/>
        </w:rPr>
        <w:t>je vítaná</w:t>
      </w:r>
      <w:r w:rsidRPr="005323A5">
        <w:rPr>
          <w:rFonts w:ascii="Arial" w:hAnsi="Arial" w:cs="Arial"/>
          <w:sz w:val="20"/>
          <w:szCs w:val="20"/>
        </w:rPr>
        <w:t xml:space="preserve"> a ctí se duševní vlastnictví –</w:t>
      </w:r>
      <w:r w:rsidR="00AA1A20">
        <w:rPr>
          <w:rFonts w:ascii="Arial" w:hAnsi="Arial" w:cs="Arial"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>kreativní nápady</w:t>
      </w:r>
      <w:r w:rsidR="00AA1A20">
        <w:rPr>
          <w:rFonts w:ascii="Arial" w:hAnsi="Arial" w:cs="Arial"/>
          <w:sz w:val="20"/>
          <w:szCs w:val="20"/>
        </w:rPr>
        <w:t xml:space="preserve"> nevybraného režiséra</w:t>
      </w:r>
      <w:r w:rsidRPr="005323A5">
        <w:rPr>
          <w:rFonts w:ascii="Arial" w:hAnsi="Arial" w:cs="Arial"/>
          <w:sz w:val="20"/>
          <w:szCs w:val="20"/>
        </w:rPr>
        <w:t xml:space="preserve"> nelze bez získání odpovídající licence použít. </w:t>
      </w:r>
      <w:r w:rsidR="00F77C07" w:rsidRPr="005323A5">
        <w:rPr>
          <w:rFonts w:ascii="Arial" w:hAnsi="Arial" w:cs="Arial"/>
          <w:sz w:val="20"/>
          <w:szCs w:val="20"/>
        </w:rPr>
        <w:t xml:space="preserve">Na straně tuzemských reklamních produkčních společností se průměrné náklady na jeden pitch </w:t>
      </w:r>
      <w:r w:rsidR="00DC6325" w:rsidRPr="005323A5">
        <w:rPr>
          <w:rFonts w:ascii="Arial" w:hAnsi="Arial" w:cs="Arial"/>
          <w:sz w:val="20"/>
          <w:szCs w:val="20"/>
        </w:rPr>
        <w:t xml:space="preserve">(prezentace) </w:t>
      </w:r>
      <w:r w:rsidR="00F77C07" w:rsidRPr="005323A5">
        <w:rPr>
          <w:rFonts w:ascii="Arial" w:hAnsi="Arial" w:cs="Arial"/>
          <w:sz w:val="20"/>
          <w:szCs w:val="20"/>
        </w:rPr>
        <w:t xml:space="preserve">odhadují na </w:t>
      </w:r>
      <w:r w:rsidR="00AA1A20">
        <w:rPr>
          <w:rFonts w:ascii="Arial" w:hAnsi="Arial" w:cs="Arial"/>
          <w:sz w:val="20"/>
          <w:szCs w:val="20"/>
        </w:rPr>
        <w:t xml:space="preserve">částky kolem </w:t>
      </w:r>
      <w:r w:rsidR="00CC1AC4">
        <w:rPr>
          <w:rFonts w:ascii="Arial" w:hAnsi="Arial" w:cs="Arial"/>
          <w:sz w:val="20"/>
          <w:szCs w:val="20"/>
        </w:rPr>
        <w:t>sedmdesáti</w:t>
      </w:r>
      <w:r w:rsidR="00AA1A20">
        <w:rPr>
          <w:rFonts w:ascii="Arial" w:hAnsi="Arial" w:cs="Arial"/>
          <w:sz w:val="20"/>
          <w:szCs w:val="20"/>
        </w:rPr>
        <w:t xml:space="preserve"> až sto tisíc korun, přičemž režiséři doposud treatmenty psali zdarma. To ale věc, která se bude měnit – režiséři i produkce si budou svou práci během pitche finančně nárokovat, aby byla pokryta alespoň část jejich vlastních prostředků a energie.</w:t>
      </w:r>
      <w:r w:rsidR="00CC1AC4">
        <w:rPr>
          <w:rFonts w:ascii="Arial" w:hAnsi="Arial" w:cs="Arial"/>
          <w:sz w:val="20"/>
          <w:szCs w:val="20"/>
        </w:rPr>
        <w:t xml:space="preserve"> SRR společně s APA </w:t>
      </w:r>
      <w:proofErr w:type="gramStart"/>
      <w:r w:rsidR="00CC1AC4">
        <w:rPr>
          <w:rFonts w:ascii="Arial" w:hAnsi="Arial" w:cs="Arial"/>
          <w:sz w:val="20"/>
          <w:szCs w:val="20"/>
        </w:rPr>
        <w:t>věří</w:t>
      </w:r>
      <w:proofErr w:type="gramEnd"/>
      <w:r w:rsidR="00CC1AC4">
        <w:rPr>
          <w:rFonts w:ascii="Arial" w:hAnsi="Arial" w:cs="Arial"/>
          <w:sz w:val="20"/>
          <w:szCs w:val="20"/>
        </w:rPr>
        <w:t>, že pokud klient za zpracování tendru bude platit, povede to nejen ke zlepšení kvality tendrů, ale například i ke konkurenceschopnosti menších produkcí.</w:t>
      </w:r>
      <w:r w:rsidR="00004F24">
        <w:rPr>
          <w:rFonts w:ascii="Arial" w:hAnsi="Arial" w:cs="Arial"/>
          <w:sz w:val="20"/>
          <w:szCs w:val="20"/>
        </w:rPr>
        <w:t xml:space="preserve"> „</w:t>
      </w:r>
      <w:r w:rsidR="00004F24" w:rsidRPr="00004F24">
        <w:rPr>
          <w:rFonts w:ascii="Arial" w:hAnsi="Arial" w:cs="Arial"/>
          <w:i/>
          <w:iCs/>
          <w:sz w:val="20"/>
          <w:szCs w:val="20"/>
        </w:rPr>
        <w:t>Cílem zavedení pitch fee, resp pitch cost share částky</w:t>
      </w:r>
      <w:r w:rsidR="00004F24">
        <w:rPr>
          <w:rFonts w:ascii="Arial" w:hAnsi="Arial" w:cs="Arial"/>
          <w:i/>
          <w:iCs/>
          <w:sz w:val="20"/>
          <w:szCs w:val="20"/>
        </w:rPr>
        <w:t>,</w:t>
      </w:r>
      <w:r w:rsidR="00004F24" w:rsidRPr="00004F24">
        <w:rPr>
          <w:rFonts w:ascii="Arial" w:hAnsi="Arial" w:cs="Arial"/>
          <w:i/>
          <w:iCs/>
          <w:sz w:val="20"/>
          <w:szCs w:val="20"/>
        </w:rPr>
        <w:t xml:space="preserve"> není, aby produkce a režiséři na tendrech vydělávali, tato minimální částka by měla vyjádřit základní respekt k odvedené práci. Věříme, že pokud klient za zpracování zaplatí, povede to </w:t>
      </w:r>
      <w:r w:rsidR="0075627F">
        <w:rPr>
          <w:rFonts w:ascii="Arial" w:hAnsi="Arial" w:cs="Arial"/>
          <w:i/>
          <w:iCs/>
          <w:sz w:val="20"/>
          <w:szCs w:val="20"/>
        </w:rPr>
        <w:t xml:space="preserve">také </w:t>
      </w:r>
      <w:r w:rsidR="00004F24" w:rsidRPr="00004F24">
        <w:rPr>
          <w:rFonts w:ascii="Arial" w:hAnsi="Arial" w:cs="Arial"/>
          <w:i/>
          <w:iCs/>
          <w:sz w:val="20"/>
          <w:szCs w:val="20"/>
        </w:rPr>
        <w:t>k větší kvalitě zadávání a nebude docházet k plýtvaní lidskou energií na špatně zadaných tendrech,“</w:t>
      </w:r>
      <w:r w:rsidR="00004F24">
        <w:rPr>
          <w:rFonts w:ascii="Arial" w:hAnsi="Arial" w:cs="Arial"/>
          <w:sz w:val="20"/>
          <w:szCs w:val="20"/>
        </w:rPr>
        <w:t xml:space="preserve"> </w:t>
      </w:r>
      <w:r w:rsidR="00004F24" w:rsidRPr="00004F24">
        <w:rPr>
          <w:rFonts w:ascii="Arial" w:hAnsi="Arial" w:cs="Arial"/>
          <w:b/>
          <w:bCs/>
          <w:sz w:val="20"/>
          <w:szCs w:val="20"/>
        </w:rPr>
        <w:t>říká manažerka reklamní sekce Eva Dvořáková Pérez</w:t>
      </w:r>
      <w:r w:rsidR="00004F24">
        <w:rPr>
          <w:rFonts w:ascii="Arial" w:hAnsi="Arial" w:cs="Arial"/>
          <w:sz w:val="20"/>
          <w:szCs w:val="20"/>
        </w:rPr>
        <w:t>.</w:t>
      </w:r>
    </w:p>
    <w:p w14:paraId="41E4FB38" w14:textId="1FDE8809" w:rsidR="003F7DBC" w:rsidRDefault="003F7DBC" w:rsidP="00645AF9">
      <w:pPr>
        <w:spacing w:before="240" w:line="240" w:lineRule="auto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5323A5">
        <w:rPr>
          <w:rFonts w:ascii="Arial" w:hAnsi="Arial" w:cs="Arial"/>
          <w:sz w:val="20"/>
          <w:szCs w:val="20"/>
        </w:rPr>
        <w:t xml:space="preserve">Principy memoranda, které </w:t>
      </w:r>
      <w:r w:rsidR="00AA1A20">
        <w:rPr>
          <w:rFonts w:ascii="Arial" w:hAnsi="Arial" w:cs="Arial"/>
          <w:sz w:val="20"/>
          <w:szCs w:val="20"/>
        </w:rPr>
        <w:t xml:space="preserve">naplno </w:t>
      </w:r>
      <w:r w:rsidRPr="005323A5">
        <w:rPr>
          <w:rFonts w:ascii="Arial" w:hAnsi="Arial" w:cs="Arial"/>
          <w:sz w:val="20"/>
          <w:szCs w:val="20"/>
        </w:rPr>
        <w:t xml:space="preserve">vejde v platnost v České republice v lednu 2025, ale už do určité míry respektují </w:t>
      </w:r>
      <w:r w:rsidR="003E1608" w:rsidRPr="005323A5">
        <w:rPr>
          <w:rFonts w:ascii="Arial" w:hAnsi="Arial" w:cs="Arial"/>
          <w:sz w:val="20"/>
          <w:szCs w:val="20"/>
        </w:rPr>
        <w:t>někteří tuzemští</w:t>
      </w:r>
      <w:r w:rsidRPr="005323A5">
        <w:rPr>
          <w:rFonts w:ascii="Arial" w:hAnsi="Arial" w:cs="Arial"/>
          <w:sz w:val="20"/>
          <w:szCs w:val="20"/>
        </w:rPr>
        <w:t xml:space="preserve"> zadavatelé, kteří si </w:t>
      </w:r>
      <w:r w:rsidR="003E1608" w:rsidRPr="005323A5">
        <w:rPr>
          <w:rFonts w:ascii="Arial" w:hAnsi="Arial" w:cs="Arial"/>
          <w:sz w:val="20"/>
          <w:szCs w:val="20"/>
        </w:rPr>
        <w:t xml:space="preserve">dlouhodobě </w:t>
      </w:r>
      <w:r w:rsidRPr="005323A5">
        <w:rPr>
          <w:rFonts w:ascii="Arial" w:hAnsi="Arial" w:cs="Arial"/>
          <w:sz w:val="20"/>
          <w:szCs w:val="20"/>
        </w:rPr>
        <w:t>uvědomovali neudržitelnost situace</w:t>
      </w:r>
      <w:r w:rsidR="003E1608" w:rsidRPr="005323A5">
        <w:rPr>
          <w:rFonts w:ascii="Arial" w:hAnsi="Arial" w:cs="Arial"/>
          <w:sz w:val="20"/>
          <w:szCs w:val="20"/>
        </w:rPr>
        <w:t xml:space="preserve"> zatěžující celý obor.</w:t>
      </w:r>
      <w:r w:rsidR="00645AF9">
        <w:rPr>
          <w:rFonts w:ascii="Arial" w:hAnsi="Arial" w:cs="Arial"/>
          <w:sz w:val="20"/>
          <w:szCs w:val="20"/>
        </w:rPr>
        <w:t xml:space="preserve"> </w:t>
      </w:r>
      <w:r w:rsidR="00FD3D7E" w:rsidRPr="005323A5">
        <w:rPr>
          <w:rFonts w:ascii="Arial" w:eastAsia="Times New Roman" w:hAnsi="Arial" w:cs="Arial"/>
          <w:i/>
          <w:iCs/>
          <w:sz w:val="20"/>
          <w:szCs w:val="20"/>
        </w:rPr>
        <w:t>„Vítám každou iniciativu, která vede ke kultivaci trhu, aktivitě APA směrem ke zlepšení tendrování režisérů a produkcí naprosto rozumím. Delší čas vnímám jejich frustraci nad krátkými časovými deadlin</w:t>
      </w:r>
      <w:r w:rsidR="00645AF9">
        <w:rPr>
          <w:rFonts w:ascii="Arial" w:eastAsia="Times New Roman" w:hAnsi="Arial" w:cs="Arial"/>
          <w:i/>
          <w:iCs/>
          <w:sz w:val="20"/>
          <w:szCs w:val="20"/>
        </w:rPr>
        <w:t>ey</w:t>
      </w:r>
      <w:r w:rsidR="00FD3D7E" w:rsidRPr="005323A5">
        <w:rPr>
          <w:rFonts w:ascii="Arial" w:eastAsia="Times New Roman" w:hAnsi="Arial" w:cs="Arial"/>
          <w:i/>
          <w:iCs/>
          <w:sz w:val="20"/>
          <w:szCs w:val="20"/>
        </w:rPr>
        <w:t xml:space="preserve"> nebo předimenzovanými tendry. Je důležité, abychom si my jako zadavatelé uvědomili, že ne vždy </w:t>
      </w:r>
      <w:r w:rsidR="00645AF9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FD3D7E" w:rsidRPr="005323A5">
        <w:rPr>
          <w:rFonts w:ascii="Arial" w:eastAsia="Times New Roman" w:hAnsi="Arial" w:cs="Arial"/>
          <w:i/>
          <w:iCs/>
          <w:sz w:val="20"/>
          <w:szCs w:val="20"/>
        </w:rPr>
        <w:t xml:space="preserve"> hledání režisérů a produkcí přistupujeme férově a s dostatkem potřebných informací a času. Věřím, že jasně nastavená pravidla donutí i nás zadavatele k větší efektivitě a přemýšlení v celém procesu. U nás v T-Mobile jsme na diskus</w:t>
      </w:r>
      <w:r w:rsidR="00645AF9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="00FD3D7E" w:rsidRPr="005323A5">
        <w:rPr>
          <w:rFonts w:ascii="Arial" w:eastAsia="Times New Roman" w:hAnsi="Arial" w:cs="Arial"/>
          <w:i/>
          <w:iCs/>
          <w:sz w:val="20"/>
          <w:szCs w:val="20"/>
        </w:rPr>
        <w:t xml:space="preserve"> připraveni,“</w:t>
      </w:r>
      <w:r w:rsidR="00FD3D7E" w:rsidRPr="005323A5">
        <w:rPr>
          <w:rFonts w:ascii="Arial" w:eastAsia="Times New Roman" w:hAnsi="Arial" w:cs="Arial"/>
          <w:sz w:val="20"/>
          <w:szCs w:val="20"/>
        </w:rPr>
        <w:t xml:space="preserve"> </w:t>
      </w:r>
      <w:r w:rsidR="00FD3D7E" w:rsidRPr="005323A5">
        <w:rPr>
          <w:rFonts w:ascii="Arial" w:eastAsia="Times New Roman" w:hAnsi="Arial" w:cs="Arial"/>
          <w:b/>
          <w:bCs/>
          <w:sz w:val="20"/>
          <w:szCs w:val="20"/>
        </w:rPr>
        <w:t xml:space="preserve">říká </w:t>
      </w:r>
      <w:r w:rsidR="003E1608" w:rsidRPr="005323A5">
        <w:rPr>
          <w:rFonts w:ascii="Arial" w:eastAsia="Times New Roman" w:hAnsi="Arial" w:cs="Arial"/>
          <w:b/>
          <w:bCs/>
          <w:sz w:val="20"/>
          <w:szCs w:val="20"/>
        </w:rPr>
        <w:t xml:space="preserve">Marian Kramařík, </w:t>
      </w:r>
      <w:r w:rsidR="00FD3D7E" w:rsidRPr="005323A5">
        <w:rPr>
          <w:rFonts w:ascii="Arial" w:eastAsia="Times New Roman" w:hAnsi="Arial" w:cs="Arial"/>
          <w:b/>
          <w:bCs/>
          <w:sz w:val="20"/>
          <w:szCs w:val="20"/>
        </w:rPr>
        <w:t>Procurement Category Expert z T-Mobile Czech Republic</w:t>
      </w:r>
      <w:r w:rsidR="00645AF9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645AF9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DD3688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Tento trend bývá v nadnárodních korporacích součástí ESG </w:t>
      </w:r>
      <w:r w:rsidR="00B6202F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>(environmental, social, governance).</w:t>
      </w:r>
    </w:p>
    <w:p w14:paraId="1853D3AD" w14:textId="511EDD1F" w:rsidR="00004F24" w:rsidRPr="005323A5" w:rsidRDefault="00004F24" w:rsidP="00004F24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5323A5">
        <w:rPr>
          <w:rFonts w:ascii="Arial" w:hAnsi="Arial" w:cs="Arial"/>
          <w:sz w:val="20"/>
          <w:szCs w:val="20"/>
        </w:rPr>
        <w:t xml:space="preserve">V procesu reformy změny pitchingu se nachází i </w:t>
      </w:r>
      <w:r w:rsidRPr="00645AF9">
        <w:rPr>
          <w:rFonts w:ascii="Arial" w:hAnsi="Arial" w:cs="Arial"/>
          <w:b/>
          <w:bCs/>
          <w:sz w:val="20"/>
          <w:szCs w:val="20"/>
        </w:rPr>
        <w:t>další evropské země</w:t>
      </w:r>
      <w:r w:rsidRPr="005323A5">
        <w:rPr>
          <w:rFonts w:ascii="Arial" w:hAnsi="Arial" w:cs="Arial"/>
          <w:sz w:val="20"/>
          <w:szCs w:val="20"/>
        </w:rPr>
        <w:t xml:space="preserve">. Například </w:t>
      </w:r>
      <w:r w:rsidRPr="00645AF9">
        <w:rPr>
          <w:rFonts w:ascii="Arial" w:hAnsi="Arial" w:cs="Arial"/>
          <w:b/>
          <w:bCs/>
          <w:sz w:val="20"/>
          <w:szCs w:val="20"/>
        </w:rPr>
        <w:t>v Německu modernizace pitch procesu vešla v platnost už v lednu roku 2024.</w:t>
      </w:r>
      <w:r w:rsidRPr="00532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Zde více</w:t>
      </w:r>
      <w:r w:rsidRPr="005323A5">
        <w:rPr>
          <w:rFonts w:ascii="Arial" w:hAnsi="Arial" w:cs="Arial"/>
          <w:sz w:val="20"/>
          <w:szCs w:val="20"/>
        </w:rPr>
        <w:t xml:space="preserve"> než 200 režisérů sdružených v </w:t>
      </w:r>
      <w:r w:rsidRPr="00645AF9">
        <w:rPr>
          <w:rFonts w:ascii="Arial" w:hAnsi="Arial" w:cs="Arial"/>
          <w:b/>
          <w:bCs/>
          <w:sz w:val="20"/>
          <w:szCs w:val="20"/>
          <w:shd w:val="clear" w:color="auto" w:fill="FFFFFF"/>
        </w:rPr>
        <w:t>Directors Association for Commercial &amp; Branded Content (</w:t>
      </w:r>
      <w:r w:rsidRPr="00645AF9">
        <w:rPr>
          <w:rFonts w:ascii="Arial" w:hAnsi="Arial" w:cs="Arial"/>
          <w:b/>
          <w:bCs/>
          <w:sz w:val="20"/>
          <w:szCs w:val="20"/>
        </w:rPr>
        <w:t>DRCT)</w:t>
      </w:r>
      <w:r w:rsidRPr="005323A5">
        <w:rPr>
          <w:rFonts w:ascii="Arial" w:hAnsi="Arial" w:cs="Arial"/>
          <w:sz w:val="20"/>
          <w:szCs w:val="20"/>
        </w:rPr>
        <w:t xml:space="preserve"> tuto změnu prosadilo společně s více než 120 reklamními produkcemi z německé aliance producentů </w:t>
      </w:r>
      <w:r w:rsidRPr="00645AF9">
        <w:rPr>
          <w:rFonts w:ascii="Arial" w:hAnsi="Arial" w:cs="Arial"/>
          <w:b/>
          <w:bCs/>
          <w:sz w:val="20"/>
          <w:szCs w:val="20"/>
        </w:rPr>
        <w:t>Produktionsallianz</w:t>
      </w:r>
      <w:r>
        <w:rPr>
          <w:rFonts w:ascii="Arial" w:hAnsi="Arial" w:cs="Arial"/>
          <w:b/>
          <w:bCs/>
          <w:sz w:val="20"/>
          <w:szCs w:val="20"/>
        </w:rPr>
        <w:t xml:space="preserve"> Sektion Werbung</w:t>
      </w:r>
      <w:r w:rsidRPr="005323A5">
        <w:rPr>
          <w:rFonts w:ascii="Arial" w:hAnsi="Arial" w:cs="Arial"/>
          <w:sz w:val="20"/>
          <w:szCs w:val="20"/>
        </w:rPr>
        <w:t>. „</w:t>
      </w:r>
      <w:r w:rsidRPr="005323A5">
        <w:rPr>
          <w:rFonts w:ascii="Arial" w:hAnsi="Arial" w:cs="Arial"/>
          <w:i/>
          <w:iCs/>
          <w:sz w:val="20"/>
          <w:szCs w:val="20"/>
        </w:rPr>
        <w:t xml:space="preserve">Na počátku jsme měli jakousi tříměsíční transformační fázi, </w:t>
      </w:r>
      <w:r w:rsidRPr="005323A5">
        <w:rPr>
          <w:rFonts w:ascii="Arial" w:hAnsi="Arial" w:cs="Arial"/>
          <w:i/>
          <w:iCs/>
          <w:sz w:val="20"/>
          <w:szCs w:val="20"/>
        </w:rPr>
        <w:lastRenderedPageBreak/>
        <w:t>která dala agenturám a klientům čas pochopit nutnost změny pitchingu. Přispěly i argumenty, že je nezákonné nechat lidi pracovat svým způsobem zadarmo. Opravdu se stalo, že od 1. ledna letošního roku probíhá téměř sto procent tendrů podle nových pravidel</w:t>
      </w:r>
      <w:r>
        <w:rPr>
          <w:rFonts w:ascii="Arial" w:hAnsi="Arial" w:cs="Arial"/>
          <w:i/>
          <w:iCs/>
          <w:sz w:val="20"/>
          <w:szCs w:val="20"/>
        </w:rPr>
        <w:t xml:space="preserve"> zahrnujících pitch fee</w:t>
      </w:r>
      <w:r>
        <w:rPr>
          <w:rFonts w:ascii="Arial" w:hAnsi="Arial" w:cs="Arial"/>
          <w:sz w:val="20"/>
          <w:szCs w:val="20"/>
        </w:rPr>
        <w:t>,</w:t>
      </w:r>
      <w:r w:rsidRPr="005323A5">
        <w:rPr>
          <w:rFonts w:ascii="Arial" w:hAnsi="Arial" w:cs="Arial"/>
          <w:sz w:val="20"/>
          <w:szCs w:val="20"/>
        </w:rPr>
        <w:t xml:space="preserve">“ </w:t>
      </w:r>
      <w:r w:rsidRPr="005323A5">
        <w:rPr>
          <w:rFonts w:ascii="Arial" w:hAnsi="Arial" w:cs="Arial"/>
          <w:b/>
          <w:bCs/>
          <w:sz w:val="20"/>
          <w:szCs w:val="20"/>
        </w:rPr>
        <w:t xml:space="preserve">říká německý režisér Micky Suelzer, </w:t>
      </w:r>
      <w:r>
        <w:rPr>
          <w:rFonts w:ascii="Arial" w:hAnsi="Arial" w:cs="Arial"/>
          <w:sz w:val="20"/>
          <w:szCs w:val="20"/>
        </w:rPr>
        <w:t>zakládající člen představenstva</w:t>
      </w:r>
      <w:r w:rsidRPr="00645AF9">
        <w:rPr>
          <w:rFonts w:ascii="Arial" w:hAnsi="Arial" w:cs="Arial"/>
          <w:sz w:val="20"/>
          <w:szCs w:val="20"/>
        </w:rPr>
        <w:t xml:space="preserve"> DRCT.</w:t>
      </w:r>
      <w:r w:rsidRPr="005323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3A5">
        <w:rPr>
          <w:rFonts w:ascii="Arial" w:hAnsi="Arial" w:cs="Arial"/>
          <w:sz w:val="20"/>
          <w:szCs w:val="20"/>
        </w:rPr>
        <w:t xml:space="preserve">I čeští režiséři </w:t>
      </w:r>
      <w:r>
        <w:rPr>
          <w:rFonts w:ascii="Arial" w:hAnsi="Arial" w:cs="Arial"/>
          <w:sz w:val="20"/>
          <w:szCs w:val="20"/>
        </w:rPr>
        <w:t xml:space="preserve">tak </w:t>
      </w:r>
      <w:r w:rsidRPr="005323A5">
        <w:rPr>
          <w:rFonts w:ascii="Arial" w:hAnsi="Arial" w:cs="Arial"/>
          <w:sz w:val="20"/>
          <w:szCs w:val="20"/>
        </w:rPr>
        <w:t xml:space="preserve">nyní mohou pracovat v Německu za těchto férových podmínek, k podobnému postupu nyní směřuje </w:t>
      </w:r>
      <w:r>
        <w:rPr>
          <w:rFonts w:ascii="Arial" w:hAnsi="Arial" w:cs="Arial"/>
          <w:sz w:val="20"/>
          <w:szCs w:val="20"/>
        </w:rPr>
        <w:t xml:space="preserve">například </w:t>
      </w:r>
      <w:r w:rsidRPr="005323A5">
        <w:rPr>
          <w:rFonts w:ascii="Arial" w:hAnsi="Arial" w:cs="Arial"/>
          <w:sz w:val="20"/>
          <w:szCs w:val="20"/>
        </w:rPr>
        <w:t xml:space="preserve">reklamní trh ve Francii. Princip nutnosti reformy </w:t>
      </w:r>
      <w:proofErr w:type="spellStart"/>
      <w:r w:rsidRPr="005323A5">
        <w:rPr>
          <w:rFonts w:ascii="Arial" w:hAnsi="Arial" w:cs="Arial"/>
          <w:sz w:val="20"/>
          <w:szCs w:val="20"/>
        </w:rPr>
        <w:t>pitchingu</w:t>
      </w:r>
      <w:proofErr w:type="spellEnd"/>
      <w:r w:rsidRPr="005323A5">
        <w:rPr>
          <w:rFonts w:ascii="Arial" w:hAnsi="Arial" w:cs="Arial"/>
          <w:sz w:val="20"/>
          <w:szCs w:val="20"/>
        </w:rPr>
        <w:t xml:space="preserve"> </w:t>
      </w:r>
      <w:r w:rsidR="005F6732">
        <w:rPr>
          <w:rFonts w:ascii="Arial" w:hAnsi="Arial" w:cs="Arial"/>
          <w:sz w:val="20"/>
          <w:szCs w:val="20"/>
        </w:rPr>
        <w:t xml:space="preserve">vyjádřili němečtí kolegové také ve svém spotu </w:t>
      </w:r>
      <w:hyperlink r:id="rId6" w:history="1">
        <w:r w:rsidR="005F6732" w:rsidRPr="005F6732">
          <w:rPr>
            <w:rStyle w:val="Hypertextovodkaz"/>
            <w:rFonts w:ascii="Arial" w:hAnsi="Arial" w:cs="Arial"/>
            <w:sz w:val="20"/>
            <w:szCs w:val="20"/>
          </w:rPr>
          <w:t>youtu.be/xnqUxHMwFo8</w:t>
        </w:r>
      </w:hyperlink>
      <w:r w:rsidR="005F6732" w:rsidRPr="005F6732">
        <w:rPr>
          <w:rFonts w:ascii="Arial" w:hAnsi="Arial" w:cs="Arial"/>
          <w:sz w:val="20"/>
          <w:szCs w:val="20"/>
        </w:rPr>
        <w:t>.</w:t>
      </w:r>
      <w:r w:rsidR="005F6732">
        <w:t xml:space="preserve"> </w:t>
      </w:r>
    </w:p>
    <w:p w14:paraId="081B742E" w14:textId="78DE1517" w:rsidR="008719AF" w:rsidRPr="005323A5" w:rsidRDefault="003F7DBC" w:rsidP="00645AF9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Aktivity vedoucí k zamezení tendrování bez rozmyslu sahají v tuzemsku </w:t>
      </w:r>
      <w:r w:rsidR="003E1608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až </w:t>
      </w:r>
      <w:r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do roku 2015, kdy </w:t>
      </w:r>
      <w:r w:rsidRPr="00645AF9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 xml:space="preserve">Asociace komunikačních agentur (AKA) </w:t>
      </w:r>
      <w:r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>představila doporučení pro Férový tendr</w:t>
      </w:r>
      <w:r w:rsidR="008719AF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>, k čemuž se v roce 2021 APA připojil</w:t>
      </w:r>
      <w:r w:rsidR="00DD3688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>a</w:t>
      </w:r>
      <w:r w:rsidR="00AA1A20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se svou adaptací pravidel pro audiovizuální produkce</w:t>
      </w:r>
      <w:r w:rsidR="00DD3688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. Velkou část pravidel Férového tendru odsouhlasila a zveřejnila i evropská asociace producentů </w:t>
      </w:r>
      <w:r w:rsidR="00DD3688" w:rsidRPr="00645AF9">
        <w:rPr>
          <w:rFonts w:ascii="Arial" w:eastAsia="Times New Roman" w:hAnsi="Arial" w:cs="Arial"/>
          <w:b/>
          <w:bCs/>
          <w:sz w:val="20"/>
          <w:szCs w:val="20"/>
        </w:rPr>
        <w:t>Commercial Film Producers of Europe (CFPE)</w:t>
      </w:r>
      <w:r w:rsidR="00DD3688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jako</w:t>
      </w:r>
      <w:r w:rsidR="008719AF" w:rsidRPr="005323A5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DD3688" w:rsidRPr="005323A5">
        <w:rPr>
          <w:rFonts w:ascii="Arial" w:eastAsia="Times New Roman" w:hAnsi="Arial" w:cs="Arial"/>
          <w:sz w:val="20"/>
          <w:szCs w:val="20"/>
        </w:rPr>
        <w:t>Universal Pitching Guideline</w:t>
      </w:r>
      <w:r w:rsidR="00AA1A20">
        <w:rPr>
          <w:rFonts w:ascii="Arial" w:eastAsia="Times New Roman" w:hAnsi="Arial" w:cs="Arial"/>
          <w:sz w:val="20"/>
          <w:szCs w:val="20"/>
        </w:rPr>
        <w:t>s, které také zmiňují zásadní body jako maximální počet tří režisérů, schválený koncept a rozpočet či pitching fee.</w:t>
      </w:r>
    </w:p>
    <w:p w14:paraId="16083CBC" w14:textId="79BE0C6C" w:rsidR="005323A5" w:rsidRPr="005323A5" w:rsidRDefault="005323A5" w:rsidP="00645AF9">
      <w:pPr>
        <w:spacing w:before="240" w:line="240" w:lineRule="auto"/>
        <w:contextualSpacing/>
        <w:rPr>
          <w:rFonts w:ascii="Arial" w:hAnsi="Arial" w:cs="Arial"/>
          <w:sz w:val="20"/>
          <w:szCs w:val="20"/>
        </w:rPr>
      </w:pPr>
      <w:r w:rsidRPr="005323A5">
        <w:rPr>
          <w:rFonts w:ascii="Arial" w:hAnsi="Arial" w:cs="Arial"/>
          <w:b/>
          <w:bCs/>
          <w:sz w:val="20"/>
          <w:szCs w:val="20"/>
        </w:rPr>
        <w:t>APA – Asociace producentů v audiovizi</w:t>
      </w:r>
      <w:r w:rsidRPr="005323A5">
        <w:rPr>
          <w:rFonts w:ascii="Arial" w:hAnsi="Arial" w:cs="Arial"/>
          <w:b/>
          <w:bCs/>
          <w:sz w:val="20"/>
          <w:szCs w:val="20"/>
        </w:rPr>
        <w:br/>
        <w:t>Kontakt 4PRESS</w:t>
      </w:r>
      <w:r>
        <w:rPr>
          <w:rFonts w:ascii="Arial" w:hAnsi="Arial" w:cs="Arial"/>
          <w:sz w:val="20"/>
          <w:szCs w:val="20"/>
        </w:rPr>
        <w:t xml:space="preserve">: </w:t>
      </w:r>
      <w:r w:rsidRPr="005323A5">
        <w:rPr>
          <w:rFonts w:ascii="Arial" w:hAnsi="Arial" w:cs="Arial"/>
          <w:sz w:val="20"/>
          <w:szCs w:val="20"/>
        </w:rPr>
        <w:t xml:space="preserve">Martina Reková, </w:t>
      </w:r>
      <w:hyperlink r:id="rId7" w:history="1">
        <w:r w:rsidRPr="005323A5">
          <w:rPr>
            <w:rStyle w:val="Hypertextovodkaz"/>
            <w:rFonts w:ascii="Arial" w:hAnsi="Arial" w:cs="Arial"/>
            <w:sz w:val="20"/>
            <w:szCs w:val="20"/>
          </w:rPr>
          <w:t>martina.rekova@4press.cz</w:t>
        </w:r>
      </w:hyperlink>
      <w:r w:rsidRPr="005323A5">
        <w:rPr>
          <w:rFonts w:ascii="Arial" w:hAnsi="Arial" w:cs="Arial"/>
          <w:sz w:val="20"/>
          <w:szCs w:val="20"/>
        </w:rPr>
        <w:t xml:space="preserve">, +420 731 573 993, Klára Bobková, +420 731 514 462, </w:t>
      </w:r>
      <w:hyperlink r:id="rId8" w:history="1">
        <w:r w:rsidRPr="005323A5">
          <w:rPr>
            <w:rStyle w:val="Hypertextovodkaz"/>
            <w:rFonts w:ascii="Arial" w:hAnsi="Arial" w:cs="Arial"/>
            <w:sz w:val="20"/>
            <w:szCs w:val="20"/>
          </w:rPr>
          <w:t>klara.bobkova@4press.cz</w:t>
        </w:r>
      </w:hyperlink>
      <w:r w:rsidRPr="005323A5">
        <w:rPr>
          <w:rFonts w:ascii="Arial" w:hAnsi="Arial" w:cs="Arial"/>
          <w:sz w:val="20"/>
          <w:szCs w:val="20"/>
        </w:rPr>
        <w:t xml:space="preserve">, Národní 28, Praha 1, </w:t>
      </w:r>
      <w:hyperlink r:id="rId9" w:history="1">
        <w:r w:rsidRPr="005323A5">
          <w:rPr>
            <w:rStyle w:val="Hypertextovodkaz"/>
            <w:rFonts w:ascii="Arial" w:hAnsi="Arial" w:cs="Arial"/>
            <w:sz w:val="20"/>
            <w:szCs w:val="20"/>
          </w:rPr>
          <w:t>www.asociaceproducentu.cz</w:t>
        </w:r>
      </w:hyperlink>
    </w:p>
    <w:p w14:paraId="4C28078C" w14:textId="77777777" w:rsidR="007062A1" w:rsidRDefault="007062A1" w:rsidP="00645AF9">
      <w:pPr>
        <w:spacing w:before="240" w:line="240" w:lineRule="auto"/>
      </w:pPr>
    </w:p>
    <w:p w14:paraId="6884AE97" w14:textId="77777777" w:rsidR="007062A1" w:rsidRDefault="007062A1" w:rsidP="00645AF9">
      <w:pPr>
        <w:spacing w:before="240" w:line="240" w:lineRule="auto"/>
      </w:pPr>
    </w:p>
    <w:sectPr w:rsidR="0070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A1"/>
    <w:rsid w:val="00004F24"/>
    <w:rsid w:val="000740B3"/>
    <w:rsid w:val="00096EAC"/>
    <w:rsid w:val="000A68CE"/>
    <w:rsid w:val="00134A37"/>
    <w:rsid w:val="001424CF"/>
    <w:rsid w:val="0019589D"/>
    <w:rsid w:val="00235BE9"/>
    <w:rsid w:val="00256604"/>
    <w:rsid w:val="002D23B8"/>
    <w:rsid w:val="002F19FE"/>
    <w:rsid w:val="0034679B"/>
    <w:rsid w:val="003D68CC"/>
    <w:rsid w:val="003E1608"/>
    <w:rsid w:val="003F7DBC"/>
    <w:rsid w:val="00401FAA"/>
    <w:rsid w:val="00427C69"/>
    <w:rsid w:val="00456A43"/>
    <w:rsid w:val="00484A8C"/>
    <w:rsid w:val="005323A5"/>
    <w:rsid w:val="0057373E"/>
    <w:rsid w:val="005906F4"/>
    <w:rsid w:val="005F6732"/>
    <w:rsid w:val="00645AF9"/>
    <w:rsid w:val="006979C4"/>
    <w:rsid w:val="006D319B"/>
    <w:rsid w:val="007062A1"/>
    <w:rsid w:val="00713477"/>
    <w:rsid w:val="00737439"/>
    <w:rsid w:val="0075627F"/>
    <w:rsid w:val="00786C70"/>
    <w:rsid w:val="007A503F"/>
    <w:rsid w:val="007C7D44"/>
    <w:rsid w:val="007E1F01"/>
    <w:rsid w:val="00802476"/>
    <w:rsid w:val="0084475F"/>
    <w:rsid w:val="00850C1E"/>
    <w:rsid w:val="008719AF"/>
    <w:rsid w:val="008A5490"/>
    <w:rsid w:val="008E5668"/>
    <w:rsid w:val="009C43DB"/>
    <w:rsid w:val="00A03755"/>
    <w:rsid w:val="00A123F9"/>
    <w:rsid w:val="00A70810"/>
    <w:rsid w:val="00AA1A20"/>
    <w:rsid w:val="00B12ABE"/>
    <w:rsid w:val="00B6202F"/>
    <w:rsid w:val="00B6297E"/>
    <w:rsid w:val="00BA099A"/>
    <w:rsid w:val="00C34F02"/>
    <w:rsid w:val="00C63CAF"/>
    <w:rsid w:val="00CC1AC4"/>
    <w:rsid w:val="00D47AE0"/>
    <w:rsid w:val="00D80D4F"/>
    <w:rsid w:val="00D918ED"/>
    <w:rsid w:val="00DC6325"/>
    <w:rsid w:val="00DD3688"/>
    <w:rsid w:val="00E34F16"/>
    <w:rsid w:val="00F02338"/>
    <w:rsid w:val="00F77C07"/>
    <w:rsid w:val="00FA2F62"/>
    <w:rsid w:val="00FD3D7E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4FFE"/>
  <w15:chartTrackingRefBased/>
  <w15:docId w15:val="{F9FE2D17-CC90-4DAB-930D-0889622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2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2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2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2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2A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2A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2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2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2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2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2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2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2A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2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2A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2A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062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2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80D4F"/>
  </w:style>
  <w:style w:type="paragraph" w:styleId="Normlnweb">
    <w:name w:val="Normal (Web)"/>
    <w:basedOn w:val="Normln"/>
    <w:uiPriority w:val="99"/>
    <w:semiHidden/>
    <w:unhideWhenUsed/>
    <w:rsid w:val="004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86C70"/>
    <w:rPr>
      <w:b/>
      <w:bCs/>
    </w:rPr>
  </w:style>
  <w:style w:type="character" w:styleId="Zdraznn">
    <w:name w:val="Emphasis"/>
    <w:basedOn w:val="Standardnpsmoodstavce"/>
    <w:uiPriority w:val="20"/>
    <w:qFormat/>
    <w:rsid w:val="00A70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6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obkova@4press.c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artina.rekova@4press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nqUxHMwF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druzenireziser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ociaceproducentu.cz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21F76A2FA343B4140FD0A7316FDD" ma:contentTypeVersion="16" ma:contentTypeDescription="Vytvoří nový dokument" ma:contentTypeScope="" ma:versionID="fe2c7ff303498177d96c21807a99fd01">
  <xsd:schema xmlns:xsd="http://www.w3.org/2001/XMLSchema" xmlns:xs="http://www.w3.org/2001/XMLSchema" xmlns:p="http://schemas.microsoft.com/office/2006/metadata/properties" xmlns:ns2="030b58ec-8b6f-40c5-90d2-c11e7d1b18fc" xmlns:ns3="46c8e7fd-985e-4510-9b65-b9036fdd7a99" targetNamespace="http://schemas.microsoft.com/office/2006/metadata/properties" ma:root="true" ma:fieldsID="852fc9f5dfa124cfd94a72e587fea2b4" ns2:_="" ns3:_="">
    <xsd:import namespace="030b58ec-8b6f-40c5-90d2-c11e7d1b18fc"/>
    <xsd:import namespace="46c8e7fd-985e-4510-9b65-b9036fd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8ec-8b6f-40c5-90d2-c11e7d1b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74a8490-9fb5-4b2e-9e52-3a219f43f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e7fd-985e-4510-9b65-b9036fdd7a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fa5a83-25c6-4fd1-a326-630de6253fdf}" ma:internalName="TaxCatchAll" ma:showField="CatchAllData" ma:web="46c8e7fd-985e-4510-9b65-b9036fd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e7fd-985e-4510-9b65-b9036fdd7a99" xsi:nil="true"/>
    <lcf76f155ced4ddcb4097134ff3c332f xmlns="030b58ec-8b6f-40c5-90d2-c11e7d1b1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7197A-9DEC-4572-B8B5-8ACF3883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CF0CB-A69B-4CFE-A571-357688B6033E}"/>
</file>

<file path=customXml/itemProps3.xml><?xml version="1.0" encoding="utf-8"?>
<ds:datastoreItem xmlns:ds="http://schemas.openxmlformats.org/officeDocument/2006/customXml" ds:itemID="{55B69121-6D63-48C8-89AD-366E330824AE}"/>
</file>

<file path=customXml/itemProps4.xml><?xml version="1.0" encoding="utf-8"?>
<ds:datastoreItem xmlns:ds="http://schemas.openxmlformats.org/officeDocument/2006/customXml" ds:itemID="{9299054D-3342-4214-84FC-A79EE72ED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906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Reková</dc:creator>
  <cp:keywords/>
  <dc:description/>
  <cp:lastModifiedBy>Iva Šádková</cp:lastModifiedBy>
  <cp:revision>2</cp:revision>
  <dcterms:created xsi:type="dcterms:W3CDTF">2024-06-20T12:59:00Z</dcterms:created>
  <dcterms:modified xsi:type="dcterms:W3CDTF">2024-06-20T12:59:00Z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0x010100B19321F76A2FA343B4140FD0A7316FDD</vt:lpwstr>
  </property>
</Properties>
</file>